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Детская практическая психология: Развитие социальной компетентности дошкольников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профессиональных компетенций, необходимых для планирования и организации работы по сопровождению становления социально-личностных умений у детей дошкольного возраста.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направлением социально-личностного развития детей дошкольного возраста.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психологического содержания социальных умений дошкольников.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технологии организации совместной деятельности взрослого и ребёнка по решению конкретной образовательной задачи.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организацией и реализацией мониторинга достижений ребёнком образовательного результата в сфере социально-личностного развития.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СОДЕРЖАНИЕ ПРОГРАММЫ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Тематический план с распределением часов по темам</w:t>
      </w:r>
    </w:p>
    <w:tbl>
      <w:tblPr/>
      <w:tblGrid>
        <w:gridCol w:w="908"/>
        <w:gridCol w:w="7207"/>
        <w:gridCol w:w="1546"/>
      </w:tblGrid>
      <w:tr>
        <w:trPr>
          <w:trHeight w:val="1" w:hRule="atLeast"/>
          <w:jc w:val="left"/>
        </w:trPr>
        <w:tc>
          <w:tcPr>
            <w:tcW w:w="9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72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</w:t>
            </w:r>
          </w:p>
        </w:tc>
        <w:tc>
          <w:tcPr>
            <w:tcW w:w="15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</w:tr>
      <w:tr>
        <w:trPr>
          <w:trHeight w:val="1" w:hRule="atLeast"/>
          <w:jc w:val="left"/>
        </w:trPr>
        <w:tc>
          <w:tcPr>
            <w:tcW w:w="9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2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Социально-личностное развитие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дошкольного возраста</w:t>
            </w:r>
          </w:p>
        </w:tc>
        <w:tc>
          <w:tcPr>
            <w:tcW w:w="15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9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2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организации совместной деятельности взрослого и ребёнка по решению конкретной образовательной задачи</w:t>
            </w:r>
          </w:p>
        </w:tc>
        <w:tc>
          <w:tcPr>
            <w:tcW w:w="15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9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2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Способы включения ребёнка в совместную деятельность на мотивационном этапе</w:t>
            </w:r>
          </w:p>
        </w:tc>
        <w:tc>
          <w:tcPr>
            <w:tcW w:w="15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2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содержание занимательной деятельности с детьми дошкольного возраста по развитию социальных компетенций</w:t>
            </w:r>
          </w:p>
        </w:tc>
        <w:tc>
          <w:tcPr>
            <w:tcW w:w="15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9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2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мониторинга достижений ребёнком образовательного результата</w:t>
            </w:r>
          </w:p>
        </w:tc>
        <w:tc>
          <w:tcPr>
            <w:tcW w:w="15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2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итоговой аттестационной работы</w:t>
            </w:r>
          </w:p>
        </w:tc>
        <w:tc>
          <w:tcPr>
            <w:tcW w:w="15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72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5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данной программе представлены материалы для освоения практической деятельности педагога по развитию у детей дошкольного возраста социальных компетенций. Социальная компетентность дошкольников является ключевым образовательным результатом освоения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ООП ДОО и включает в себя ряд социальных компетенций: навыки адаптации к образовательному учреждению и освоение новых социальных ролей и позиций, коммуникативные умения (навыки общения со сверстниками и взрослыми), навыки обхождения с чувствами, навыки альтернативы агрессии, навыки преодоления стресса. Представлены авторские разработки технологизации педагогической деятельности по развитию социальных компетенций детей дошкольного возраста. Курс снабжен практическим инструментарием (технологическими и диагностическими картами, описанием конкретных социальных компетенций и педагогических действий по их достижению).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разработана с учетом преемственности с профессиональными образовательными программами среднего профессионального и высшего образования по специальности Дошкольная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педагогика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психология и направлениям Педагогическое образование,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Психолого-педагогическое образование, Специальное (дефектологическое) образование и др..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3044674-pedagogika" Id="docRId2" Type="http://schemas.openxmlformats.org/officeDocument/2006/relationships/hyperlink"/><Relationship Target="styles.xml" Id="docRId4" Type="http://schemas.openxmlformats.org/officeDocument/2006/relationships/styles"/></Relationships>
</file>